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05.06.2020, оставленным без изменения постановлениями Восемнадцатого арбитражного апелляционного суда от 16.09.2020 и Арбитражного суда Уральского округа от 13.01.2021, 2 исковое заявление ГКУ «Курганавтодор» удовлетворено частично, с ООО СК «МадисСтрой» взысканы пени в сумме 803 157 рублей 22 копеек, штраф в сумме 1 921 005 рублей 04 копеек, неотработанный аванс в сумме 3 650 713 рублей 76 копеек. В остальной части в удовлетворении иска отказано. В удовлетворении встречного иска отказано. В кассационной жалобе, поданной в Верховный Суд Российской Федерации, ООО СК «МадисСтрой», ссылаясь на существенное нарушение судами норм права, просит отменить судебные акты и удовлетворить встречное исковое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06.09.2016 по итогам электронного аукциона сторонами заключен государственный контракт № 120, по условиям которого ООО СК «МадисСтрой» (подрядчик) приняло на себя обязательства по выполнению работ на объекте капитального строительства собственными силами и силами привлеченных субподрядных организаций в соответствии с утвержденной проектной документацией и условиями контракта. ГКУ «Курганавтодор» (заказчик) 31.01.2017 подрядчику перечислены денежные средства в сумме 3 842 000 рублей в счет авансирования работ по контракту. Кроме того, 30.05.2017 учреждение приняло выполненные подрядчиком работы на сумму 1 912 954 рубля 24 копейки и перечислило подрядчику 1 721 668 рублей. Заказчиком 14.11.2017 принято решение об одностороннем отказе от исполнения контракта и направлено подрядчику уведомление. В связи с возвратом почтового отправления 18.12.2017, стороны полагали, что датой расторжения контракта является 29.12.2017. Заказчик в адрес подрядчика направил претензии (требования) об оплате неустойки (пени, штрафа) от 01.09.2017 и о возврате суммы перечисленного аванса от 11.01.2018. Неисполнение претензий послужило основанием для обращения учреждения в арбитражный суд. Одновременно полагая, что учреждением не исполнены обязательства по оплате фактически выполненных работ, общество обратилось в арбитражный суд с встречным иском. 3 При рассмотрении дела судебные инстанции установили факт выполнения подрядчиком работ и принятия их заказчиком по контракту на сумму 1 912 954 рубля 24 копейки, указав, что возражений по качеству, объему работ в указанной части не имелось, акт формы КС-2, справка формы КС-3 подписаны заказчиком без замечаний. При этом суды критически отнеслись к представленным заключениям специалиста и судебной экспертизы, поскольку указанные заключения подготовлены на основании актов формы КС-2, справок формы КС-3, составленных обществом в одностороннем порядке. Таким образом, исследовав и оценив представленные в материалы дела доказательства, руководствуясь положениями статей 309, 310, 329, 330, 333, 702, 709, 711, 740, 763 Гражданского кодекса Российской Федерации, в отсутствие доказательств выполнения работ по контракту на всю сумму, перечисленную в качестве аванса и учитывая, что данные средства фактически являются неосновательным обогащением общества, суды пришли к выводу о наличии оснований для взыскания с ответчика неотработанного аванса и штрафа. При этом суды обоснованно взыскали с ответчика по первоначальному иску неустойку исходя из двукратной учетной ставки Банка России, установленной на момент рассмотрения спора по существу с учетом стоимости фактически выполненных работ, периода начисления, примененного учреждением. С учетом установленных обстоятельств, суды не усмотрели оснований для удовлетворения требований общества по встречному иску. Доводы общества, изложенные в жалобе,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СК «МадисСтрой»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