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22.07.2020, оставленным без изменения постановлениями Девятого арбитражного апелляционного суда от 13.10.2020 и Арбитражного суда Московского округа от 09.03.2021, исковое требование министерства удовлетворено.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Основанием для обращения в арбитражный суд с настоящим иском послужило нарушение обществом срока исполнения обязательства по государственному контракту от 12.04.2016 на поставку (с вводом в эксплуатацию) программно-аппаратного комплекса системы освещения обстановки командных пунктов соединений, объединений флотов. Оценив представленные в материалы дела доказательства, суды, руководствуясь положениями статей 309 , 310 , 330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25.11.2013 № 1063 «Об утверждении Правил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контрактом» (далее – постановление № 1063), пришли к выводу о наличии оснований для возложения на ответчика гражданско-правовой ответственности в виде выплаты неустойки. Судебные инстанции исходили из наличия просрочки общества в исполнении обязательств по контракту, и не усмотрели оснований для признания заявленной к взысканию неустойки несоразмерной последствиям нарушения обязательства. Довод заявителя кассационной жалобы относительно необоснованного применения при расчете неустойки положений, указанных в постановлении № 1063, исходя из того, что оно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15.05.2017 № 570 и признании утратившим силу постановления Правительства Российской Федерации от 25.11.2013 № 1063» (далее - постановление № 1042) утратило силу, подлежит отклонению. В соответствии с пунктом 3 постановления Правительства Российской Федерации от 30.08.2017 № 1042 настоящее постановление применяется к отношениям, связанным с осуществлением закупок товаров, работ, услуг для обеспечения государственных и муниципальных нужд, извещения об осуществлении которых размещены в единой информационной системе в сфере закупок либо приглашения принять участие в которых направлены после дня вступления в силу настоящего постановления. В настоящем случае контракт заключен 12.04.2016, то есть до принятия указанного постановления Правительства Российской Федерации и, следовательно, до размещения извещения о проведении процедуры закупки. Кроме того, вопреки доводам кассационной жалобы, суды при проверке обоснованности расчета неустойки учли стоимость фактически исполненного обществом обязательства. С учетом изложенного, приведенные в жалобе доводы,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общества о приостановлении исполнения судебных актов остается без рассмотрения.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«СПИИРАН - научно-техническое бюро высоких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обороны Российской Федерации (подробнее) Ответчики: АО "СПИИРАН - НАУЧНО-ТЕХНИЧЕСКОЕ БЮРО ВЫСОКИХ ТЕХНОЛОГИЙ"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