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08.04.2020, оставленным без изменения постановлением 2 Тринадцатого арбитражного апелляционного суда от 14.07.2020, иск удовлетворен в части расторжения контракта, взыскания с комитета в пользу общества 7 668 013,27 рублей в возмещение убытков, 1 315 751,82 рублей неосновательного обогащения и 313 536,63 рублей процентов, в удовлетворении остальной части иска отказано. Постановлением Арбитражного суда Северо-Западного округа от 19.01.2021 указанные судебные акты отменены в части взыскания с комитета в пользу общества 7 668 013,27 рублей в возмещение убытков, дело в указанной части направлено на новое рассмотрение в Арбитражный суд города Санкт- Петербурга и Ленинградской области в ином судебном составе, в остальной части судебные акты оставлены без изменения. В кассационной жалобе, поступившей в Верховный Суд Российской Федерации, общество просит изменить принятые по делу судебные акты в части отказа в иске о возмещении убытков в виде расходов на оплату комиссии за предоставление банковской гарантии и страховой премии на страхования. Комитет просит обжалуемые судебные акты отменить в части удовлетворения требований общества. Основания для пересмотра судебных актов в кассационном порядке по доводам кассационных жалоб отсутствуют. Руководствуясь положениями статей 309, 330, 401, 450, 729, 743 Гражданского кодекса Российской Федерации, статьи 95 Федеральным законом от 05.04.2013 № 44-ФЗ «О контрактной системе в сфере закупок товаров, работ, услуг для обеспечения государственных и муниципальных нужд», суды удовлетворили иск в части требований о расторжении контракта и взыскания неосновательного обогащения, дело в части взыскания убытков в размере 7 668 013,27 рублей направлено судом округа на новое рассмотрение, в остальной части в иске отказано. Доводы жалобы общества повторяют его позицию по делу, являлись предметом рассмотрения судов и получили исчерпывающую правовую оценку с учетом отсутствия доказательств наличия причинно-следственной связи 3 между понесенными обществом спорными расходами и действиями комитета с учетом правовой позиции,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не согласиться с которой оснований не имеется. Доводы комитета также были предметом исследования судов и отклонены исходя из установленных по делу обстоятельств, в том числе, относительно определения момента, когда комитет должен был узнать о неосновательности получения спорных сумм. В остальной части заявители в силу части 1 статьи 41 Арбитражного процессуального кодекса Российской Федерации не лишены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Определением Верховного Суда Российской Федерации от 24.03.2021 обществу предоставлена отсрочка по уплате государственной пошлины за подачу кассационной жалобы. Поскольку производство по рассмотрению кассационной жалобы завершено, с него по правилам статьи 102 АПК РФ и статей 333.21, 333.22 Налогового кодекса Российской Федерации надлежит взыскать в доход федерального бюджета 3000 рублей государственной пошлины по кассационной жалобе. Исходя из изложенного, руководствуясь статьями 291.6, 291.8 Арбитражного процессуального кодекса Российской Федерации, судья Верховного Суда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Взыскать с общества с ограниченной ответственностью «Альянс Капитал Девелопмент» в доход федерального бюджета 3000 рублей государственной пошлины по кассационной жалобе. Арбитражному суду города Санкт-Петербурга и Ленинградской области выдать исполнительный лист на взыскание государственной пошлины в федеральный бюджет.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