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02.09.2020, оставленным без изменения постановлением Четвертого арбитражного апелляционного суда от 05.11.2020, в иске отказано. 2 Постановлением Арбитражного суда Восточно-Сибирского округа от 27.01.2021 указанные судебные акты оставлены без изменения. В кассационной жалобе, поступившей в Верховный Суд Российской Федерации, учреждение просит отменить принятые по делу судебные акты, считая их незаконными и необоснованными.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1102, 1105 Гражданского кодекса Российской Федерации, Федерального закона от 28.12.2013 № 400-ФЗ «О страховых пенсиях», суды отказали в иске, признав недоказанным факт неосновательного обогащения ответчика и его виновных действий. Доводы жалобы повторяют позицию заявителя по делу, являлись предметом рассмотрения судов и получили исчерпывающую правовую оценку. При этом учреждение не лишено возможности иным способом защитить публичные интересы путем обращения с иском к надлежащему лицу.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