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Хабаровского края от 26.06.2020 в удовлетворении требования отказано. 2 Постановлением Шестого арбитражного апелляционного суда от 28.10.2020 решение суда первой инстанции отменено, заявленное требование удовлетворено. Постановлением Арбитражного суда Дальневосточного округа от 19.01.2021 постановление суда апелляционной инстанции оставлено без изменения. Антимонопольный орган обратилась в Верховный Суд Российской Федерации с кассационной жалобой, в которой просит постановление апелляционного суда и постановление суда округа отменить, считая их незаконными и необоснованными. Исходя из доводов жалобы и принятых по делу судебных актов оснований для удовлетворения жалобы не установлено. Частью 1 статьи 9.21 Кодекса Российской Федерации об административных правонарушениях установлена административная ответственность за нарушение субъектом естественной монополии правил (порядка обеспечения) недискриминационного доступа или установленного порядка подключения (технологического присоединения) к магистральным нефтепроводам и (или) магистральным нефтепродуктопроводам, электрическим сетям, тепловым сетям, газораспределительным сетям или централизованным системам горячего водоснабжения, холодного водоснабжения и водоотведения, либо нарушение собственником или иным законным владельцем объекта электросетевого хозяйства правил недискриминационного доступа к услугам по передаче электрической энергии, либо препятствование собственником или иным законным владельцем водопроводных и (или) канализационных сетей транспортировке воды по их водопроводны м сетям и (или) транспортировке сточных вод по их канализационным сетям. Отменяя решение суда первой инстанции и удовлетворяя требование, апелляционный суд руководствовался положениями Федерального закона от 26.03.2003 № 35-ФЗ «Об электроэнергетике», Федерального закона 3 от 17.08.1995 № 147-ФЗ «О естественных монополиях»,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утвержденных Постановление Правительства Российской Федерации от 27.12.2004 № 861, и исходил из недоказанности антимонопольным органом в действиях общества состава вмененного правонарушения при установленных обстоятельств, свидетельствующих о непредоставлении абонентом полного пакета документов для подготовки договора на технологическое присоединение к электрическим сетям. Суд округа согласился с выводами апелляционного суда с учетом характеристик подключаемого объекта. Доводы жалобы были предметом исследования судов и получили исчерпывающую правовую оценку с учетом конкретных установленных обстоятельств характеристик подключаемого объекта и необходимым в таком случае перечнем документов, не согласиться с которыми по доводам жалобы оснований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судом не допущено.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