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15.07.2020, оставленным без изменения постановлением Девятого арбитражного апелляционного суда от 30.09.2020, в удовлетворении требования отказано. Постановлением Арбитражного суда Московского округа от 21.01.2021 указанные судебные акты отменены, требование удовлетворено. В кассационной жалобе, поступившей в Верховный Суд Российской Федерации, дополнении к ней, фонд просит отменить постановление суда округа, считая его незаконным и необоснованным. Основания для пересмотра судебного акта в кассационном порядке по доводам жалобы отсутствуют.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Поскольку в жалобе не оспаривается факт перечисления денежных средств, их размер, излишний характер перечисления, зачисление денег в бюджет, ошибочность указания реквизитов для зачисления денежных средств ввиду их направления на КБК подразделения ПФР, в котором плательщик не состоит на учете, чем в рассматриваемом случае возврат спорных денежных средств нарушает публичные интересы и какой защите они подлежат, в жалобе не указано.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Федерации. Исходя из изложенного,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А.Г. Першутов Российской Федерации Суд: Верховный Суд РФ (подробнее) Ответчики: ГУ Отделение Пенсионного фонда Российской Федерации по г. Москве и Московской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