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Налогового кодекса Российской Федерации.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Так, к документам, устанавливающим имущественное положение,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Заявителем представлены доказательства, свидетельствующие о невозможности исполнения обязанности по уплате государственной пошлины при подаче кассационной жалобы, в связи с чем, ходатайство об отсрочке уплаты государственной пошлины подлежит удовлетворению. Учитывая изложенное и руководствуясь статьями 102 , 184 , 291.3 Арбитражного процессуального кодекса Российской Федерации, статьями 333.21 , 333.22 , 333.41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«Альянс Капитал Девелопмент» об отсрочке уплаты государственной пошлины удовлетворить. Предоставить отсрочку уплаты государственной пошлины сроком до окончания производства по настоящей кассационной жалобе. Судья Верховного Суда Российской Федерации А.Г. Першутов Суд: Верховный Суд РФ (подробнее) Истцы: ООО "Альянс Капитал Девелопмент" (подробнее) Ответчики: Комитет по строительству (подробнее) Иные лица: Комитет финансов СПб (подробнее) МИФНС №17 ПО МОСКОВСКОЙ ОБЛ. (подробнее) МИФНС №23 ПО МОСКОВСКОЙ ОБЛ.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