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города Москвы от 11.03.2020, оставленным без изменения постановлением Девятого арбитражного апелляционного суда от 11.08.2020, с предпринимателя в пользу общества взыскано 12 235 руб. процентов за пользование чужими денежными средствами, в удовлетворении остальной части исковых требований отказано. Постановлением Арбитражного суда Московского округа от 10.11.2020 решение суда первой инстанции и постановление суда апелляционной инстанций отменены, исковые требования удовлетворены. В кассационной жалобе, поданной в Верховный Суд Российской Федерации, предприниматель, ссылаясь на незаконность постановления суда округа, просит его отменить и оставить в силе решение суда первой инстанции и постановление суда апелляционной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материалов истребованного дела и доводов кассационной жалобы не установлено. Отменяя решение суда первой инстанции, постановление суда апелляционной инстанции и удовлетворяя исковые требования, суд округа, учитывая обстоятельства, установленные названными судами, а также вступившими в законную силу судебными актами судов общей юрисдикции, руководствуясь статьями 210, 249, 395 Гражданского кодекса Российской Федерации, статьями 15, 16, 44, 156 Жилищного кодекса Российской Федерации, разъяснениями, приведенными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исходил из следующего: общество осуществляет хозяйственную деятельность по управлению, содержанию, ремонту и эксплуатации общего имущества многофункционального комплекса, в котором предпринимателю на праве собственности принадлежит нежилое помещение; решение общего собрания собственников по вопросу определения размера платы за содержание и ремонт нежилых помещений не принималось, а услуги по содержанию и ремонту нежилых помещений обществом фактически оказаны, что установлено вступившими в законную силу судебными актами судов общей юрисдикции, которыми также признан обоснованным размер взимаемой платы 115 руб./кв. м; поскольку понесенная сумма расходов обществом подтверждена, доказательств исполнения предпринимателем обязательств по внесению платы не представлено, исковые требования подлежат удовлетворению. Исходя из установленных судами фактических обстоятельств настоящего дела, оснований не согласиться с выводом суда округа не имеется. Доводы кассационной жалобы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обжалуемого судебного акта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Тариканова Дмитрия Викторовича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