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28.01.2021 в удовлетворении заявленного требования отказано. Определением Четвертого арбитражного апелляционного суда от 15.02.2021 апелляционная жалоба административного органа оставлена без 2 движения в связи с нарушением заявителем требований, установленных пунктом 4 части 4 статьи 260 Арбитражного процессуального кодекса Российской Федерации. Постановлением Арбитражного суда Восточно-Сибирского округа от 11.03.2021 указанное определение оставлено без изменения. В кассационной жалобе, поступившей в Верховный Суд Российской Федерации, административный орган просит отменить определение арбитражного апелляционного суда и постановление суда округа, считая их незаконными и необоснованными. Основания для пересмотра судебных актов в кассационном порядке по доводам жалобы отсутствуют.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Как следует из общедоступной информационной системы «Картотека арбитражных дел» апелляционная жалоба административного органа принята к производству 15.03.2021 и рассмотрена апелляционным судом 21.04.2021. При этом административный орган не лишен возможности обжаловать вынесенные по существу судебные акты судов первой и апелляционной инстанций в установленном процессуальным законодательством порядке. Чем в рассматриваемом случае нарушен охраняемый законом публичный интерес, и какой защите он подлежит, в жалобе не указано. 3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