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Судебная практика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Марий Эл от 04.08.2020, оставленным без изменения постановлением Первого арбитражного апелляционного суда от 19.10.2020, требования удовлетворены. Постановлением Арбитражного суда Арбитражного суда Волго-Вятского округа от 03.02.2021 указанные судебные акты оставлены без изменения. 2 В кассационной жалобе, поступившей в Верховный Суд Российской Федерации, фонд просит отменить состоявшиеся по делу судебные акты, считая их незаконными и необоснованными.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положениями статей 198, 200, 201 Арбитражного процессуального кодекса Российской Федерации, Федерального закона от 29.11.2010 № 326-ФЗ «Об обязательном медицинском страховании в Российской Федерации», Правилами ОМС, Общими принципами, Порядком организации и проведения контроля объемов, сроков, качества и условий предоставления медицинской помощи по обязательному медицинскому страхованию, утвержденным приказом Федерального фонда обязательного медицинского страхования от 01.12.2010 №230, Методическими указаниями по представлению информации в сфере обязательного медицинского страхования, утвержденными председателем Федерального фонда обязательного медицинского страхования 30.12.2011, суды удовлетворили требования, признав, что фонд не доказал наличие оснований для вынесения оспариваемого решения. Доводы жалобы были предметом исследования судов и получили исчерпывающую правовую оценку исходя из отсутствия доказательств, свидетельствующих, что расхождения в медицинской документации и реестрах счетов влияют на права застрахованных лиц, нарушают права страховщика, или не подтверждают факт оказания медицинской помощи, включенной в реестр счетов. Ссылка на иную практику Верховного Суда Российской Федерации подлежит отклонению, поскольку по приведенному делу вопрос касался размера штрафа с учетом характера конкретных выявленных нарушений. 3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