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25.06.2020, оставленным без изменения постановлением Девятого арбитражного апелляционного суда от 15.10.2020, в удовлетворении требований отказано. 2 Постановлением Арбитражного суда Московского округа от 19.01.2021 указанные судебные акты оставлены без изменения. Общество просит отменить обжалуемые судебные акты, считая их принятыми с нарушением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статей 169, 171, 172, 252 Налогового кодекса Российской Федерации, Постановления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суды отказали в удовлетворении заявленных требований, установив обстоятельства, на основании которых пришли к выводу о намерении общества получить необоснованную налоговую выгоду в отсутствие реальных хозяйственных операций со спорными контрагентами. Приведенные в жалобе доводы были предметом исследования судов и получили исчерпывающую правовую оценку применительно к установленным 3 обстоятельствам и представленным доказательствам, не согласиться с которой оснований не имеется.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