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02.05.2021 с ходатайством о восстановлении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жалобой, в том числе в связи с отсутствием у него сведений об обжалуемом судебном акте, по ходатайству указанного лица может быть восстановлен судьей,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при подаче ходатайства за пределами шестимесячного срока восстановление срока на обжалование судебных актов не допускается. Общество подало ходатайство за пределами названного срока, поэтому срок восстановлен быть не может независимо от причины его пропуска. 2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«Альянс» в восстановлении срока подачи кассационной жалобы на определение Арбитражного суда Белгородской области от 11.03.2020, постановление Девятнадцатого арбитражного апелляционного суда от 15.06.2020 и постановление Арбитражного суда Центрального округа от 17.09.2020 по делу № А08-448/2019. Возвратить обществу с ограниченной ответственностью «Альянс» кассационную жалобу.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