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02.05.2021 подает кассационную жалобу на судебные акты по указанному делу и ходатайствует о восстановлении срока на обжалование, считая, что срок подлежит исчислению со дня получения почтового отправления из окружного суда – 06.03.2020. Согласно части 1 статьи 291.2 Арбитражного процессуального кодекса Российской Федерации (далее – Кодекс) срок на подачу кассационной жалобы исчисляется со дня вступления в силу последнего обжалуемого судебного акта, принятого по делу. Несоблюдения окружным судом срока направления копии обжалуемого постановления от 20.02.2021 не установлено, поэтому основания для исчисления срока на его обжалование в отличном от указанного в названной выше норме закона порядке не имеется. Учитывая отсутствие объективной причины пропуска, срок на обжалование восстановлению не подлежит.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Шатохину Андрею Ивановичу в восстановлении срока подачи кассационной жалобы на определение Арбитражного суда Волгоградской области от 08.10.2020, постановление Двенадцатого арбитражного апелляционного суда от 01.12.2020 и постановление Арбитражного суда Поволжского округа от 20.02.2021 по делу № А12-22771/2020. Возвратить индивидуальному предпринимателю Шатохину Андрею Ивановичу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