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29.04.2021 подает кассационную жалобу на судебные акты по № А41-80302/2019 и ходатайствует о восстановлении срока на обжалование. Предприниматель указывает на отсутствие у него сведений о последнем обжалуемом судебном акте, неучастие в судебном заседании и неполучение копии обжалуемого постановления суда. Согласно части 2 статьи 291.2 Арбитражного процессуального кодекса Российской Федерации (далее – Кодекс) восстановление срока возможно при пропуске его по причинам, не зависящим от лица, обратившегося с такой жалобой. Решение, выполненное в форме электронного документа, направляется участвующим в деле лицам посредством размещения на официальном сайте арбитражного суда в сети Интернет (часть 1 статьи 177 Арбитражного процессуального кодекса Российской Федерации) и с этого момента доступно для ознакомления и подготовки жалобы. 2 Постановление Арбитражного суда Московского округа от 04.02.2021 вынесено по результатам рассмотрения кассационной жалобы предпринимателя с участием в судебном заседании его представителя. Официальное опубликование 05.02.2021 текста постановления указывает на отсутствие нарушения судом срока его направления, которое могло бы повлиять на срок обжалования судебных актов. Обозначенная причина пропуска срока не носит объективного характера, поэтому в связи с ней срок восстановлению не подлежит.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Бринчаку Мирону Ивановичу в восстановлении срока подачи кассационной жалобы на решение Арбитражного суда Московской области от 09.06.2020 по делу № А41-80302/2019, постановление Десятого арбитражного апелляционного суда от 07.09.2020 и постановление Арбитражного суда Московского округа от 04.02.2021 по тому же делу. Возвратить индивидуальному предпринимателю Бринчаку Мирону Ивановичу кассационную жалобу. Возвратить Бринчаку Мирону Ивановичу из федерального бюджета 3 000 (три тысячи) рублей государственной пошлины, уплаченной по платежному поручению от 28.04.2021 № 87.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