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26.06.2020 (с учетом определения от 26.06.2020 об исправлении опечатки), оставленным без изменения постановлением Четвертого арбитражного апелляционного суда от 16.09.2020, первоначальные исковые требования удовлетворены, в удовлетворении встречного иска отказано, распределены судебные расходы. Постановлением Арбитражного суда Восточно-Сибирского округа от 11.02.2021 решение суда первой инстанции и постановление суда апелляционной инстанции отменены в части удовлетворения первоначальных исковых требований и распределения судебных расходов, дело в указанной части направлено на новое рассмотрение в Арбитражный суд Иркутской области; в остальной части судебные акты оставлены без изменения.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в части отказа в удовлетворении встречного иска и направить дело в данной части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309, 310, 393 Гражданского кодекса Российской Федерации, исходили из недоказанности обществом совокупности условий, необходимых для взыскания с предпринимателя убытков. С указанными выводами впоследствии согласился суда округа. Доводы кассационной жалобы не опровергают выводы судов, не подтверждают наличие в судебных актах в обжалуемой части существенных 3 нарушений норм материального и (или) процессуального права, повлиявших на исход дела, а потому основания для передачи жалобы для рассмотрения в судебном заседании отсутствуют.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Строительная компания «Передовик»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