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фонд обратился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333.41 настоящего Кодекса.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 (пункт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пошлине»). В обоснование заявленного ходатайства заявителем не представлены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стороны), а также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291.5 Арбитражного процессуального кодекса Российской Федерации. На основании изложенного, руководствуясь статьями 184-185, пунктом 2 части 5 статьи 291.3, пунктом 1 части 1 статьи 291.5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Фонду «Региональный оператор фонда капитального ремонта многоквартирных домов Курской области» в удовлетворении ходатайства об отсрочке уплаты государственной пошлины за рассмотрение кассационной жалобы. Кассационную жалобу на постановление Девятнадцатого арбитражного апелляционного суда от 14.08.2020 и постановление Арбитражного суда Центрального округа от 03.02.2021 по делу № А35-11880/2019 Арбитражного суда Курской области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