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09.06.2020, оставленным без изменения постановлением Тринадцатого арбитражного апелляционного суда от 14.09.2020, в иске отказано. 2 Постановлением Арбитражного суда Северо-Западного округа от 21.01.2021 указанные судебные акты оставлены без изменения. Пенсионный фонд просит принятые по делу судебные акты отменить, считая их незаконными и необоснованными.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1064 Гражданского кодекса Российской Федерации, статьи 11 Федерального закона от 01.04.1996 № 27-ФЗ «Об индивидуальном (персонифицированном) учете в системе обязательного пенсионного страхования в Российской Федерации», Федерального закона от 28.12.2013 № 400-ФЗ «О страховых пенсиях», суды отказали в иске, признав недоказанным наличие причинно-следственной связи между действиями ответчика по предоставлению сведений персонифицированного учета и возникшими убытками. Доводы пенсионного фонда были предметом оценки судов и отклонены исходя из установленных обстоятельств, свидетельствующих об осведомленности пенсионного фонда на момент вынесения решения о непрерывности осуществления застрахованными лицами оплачиваемой трудовой деятельности в обществе, не согласиться с которой по доводам жалобы и установленным срокам представления иных форм учета,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Учитывая изложенное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