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16.09.2020, оставленным без изменения постановлением Шестого арбитражного апелляционного суда от 26.10.2020, в удовлетворении требований отказано. Постановлением Арбитражного суда Дальневосточного округа от 15.01.2021 указанные судебные акты оставлены без изменения. Предприниматель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доказательств, руководствуясь положениями части 6 статьи 4.5 , части 1.2 статьи 28.1 Кодекса Российской Федерации об административных правонарушениях, Федерального закона от 26.04.2006 № 135-ФЗ «О защите конкуренции», суды пришли к выводу о наличии в действиях предпринимателя состава правонарушения, ответственность за которое предусмотрена частью 1 статьи 14.33 Кодекса Российской Федерации об административных правонарушениях, не установив существенных нарушений процедуры привлечения к административной ответственности. Доводы жалобы о том, что решение антимонопольного органа не обладало на момент рассмотрения настоящего административного дела юридической силой, противоречит разъяснениям, изложенным в пункте 10.1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законодательства». Доводы жалобы направлены на переоценку фактических обстоятельств дела, установленных судами по имеющимся в деле доказательствам, и не могут служить основанием для отмены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Бертонас Николай Антанасович (подробнее) Ответчики: Управление Федеральной антимономольной службы по Хабаровскому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