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18.06.2020, оставленным без изменения постановлением Семнадцатого арбитражного апелляционного суда от 24.09.2020 и постановлением Арбитражного суда Уральского округа от 26.01.2021, в удовлетворении исковых требований отказано. В кассационной жалобе, поданной в Верховный Суд Российской Федерации, завод, ссылаясь на нарушение судами норм материального права, просит отменить указанные судебные акты и направить дело на новое рассмотрение в Арбитражный суд Пермского края.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Суды первой и апелляционной инстанций, с которыми впоследствии согласился суд округа,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393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 недоказанности заводом наличия совокупности условий, необходимых для взыскания с общества убытков.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«144 бронетанковый ремонтный завод»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"144 БРОНЕТАНКОВЫЙ РЕМОНТНЫЙ ЗАВОД" (подробнее) Ответчики: ПАО СПЕЦИАЛЬНОГО МАШИНОСТРОЕНИЯ И МЕТАЛЛУРГИИ "МОТОВИЛИХИНСКИЕ ЗАВОДЫ" (подробнее) Иные лица: ГУ войсковая часть 42091 (подробнее) ФЕДЕРАЛЬНОЕ БЮДЖЕТНОЕ УЧРЕЖДЕНИЕ - ВОЙСКОВАЯ ЧАСТЬ 07264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