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 включении в реестр требований кредиторов должника его требований в размере 649 750 рублей. Определением Арбитражного суда Ставропольского края от 25.03.2019 признаны обоснованными требования ФИО1 в сумме 584 750 рублей с удовлетворением их после удовлетворения требований, включённых в реестр требований кредиторов должника, отказано в удовлетворении остальной части заявления. Не согласившись с определением суда первой инстанции от 25.03.2019, ФИО1 обратился в Шестнадцатый арбитражный апелляционный суд с жалобой, заявив ходатайство о восстановлении срока подачи апелляционной жалобы. Определением суда апелляционной инстанции от 10.07.2019, оставленным без изменения постановлением Арбитражного суда Северо-Кавказского округа от 25.09.2019, отказано в удовлетворении ходатайства ФИО1 о восстановлении срока подачи апелляционной жалобы, производство по апелляционной жалобе прекращено. В кассационной жалобе, поданной в Верховный Суд Российской Федерации, заявитель просит отменить названные определение суда апелляционной инстанции и постановление суда округа.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апелляционный суд, руководствуясь положениями статей 113 и 259 Арбитражного процессуального кодекса Российской Федерации, разъяснениями, приведенными в пункте 14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отсутствия уважительных причин для пропуска процессуального срока на подачу ФИО1 апелляционной жалобы, не приведшим убедительных доводов в обоснование невозможности осуществления действий по обжалованию судебных актов в установленный законом срок.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"ДОМ.РФ" (подробнее) Комитет по управлению муниципальным имуществом города Ставрополя (подробнее) Межрайонная ИФНС России №12 по Ставропольскому краю (подробнее) МУП "Водоканал" города Ставрополя (подробнее) ООО "СтавЮгИнвест" (подробнее) Ответчики: собственников жилья "Дружба" (подробнее) Иные лица: Арбитражный управляющий Кошкош Г.В. (подробнее) Ассоциация "Региональная саморегулируемая организация профессиональных арбитражных управляющих" (подробнее) Комитет градостроительства администрации СК (подробнее) К/У Кошкош Георгий Викторович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