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28.07.2020, оставленным без изменения постановлением Шестого арбитражного апелляционного суда от 26.10.2020 и постановлением Арбитражного суда Дальневосточного округа от 15.01.2021, исковые требования удовлетворены. В кассационной жалобе общество «Фартов-внешторг» просит о пересмотре судебных актов, ссылаясь на недоказанность наличия у товара неустранимых недостатков и недобросовестность истца в вопросе применения последствий повреждения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доказанным поставку обществом «Фартов-внешторг» некачественного товара, влекущую в силу 454, 469, 475, 506, 518 Гражданского кодекса Российской Федерации примененные последствия. Доводы рассматриваемой кассационной жалобы повторяют доводы, заявленные судам и получившие правовую оценку.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«Фартов-внешторг»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"Камелот" (подробнее) Ответчики: ООО "Оборудование-Торг" (подробнее) ООО "Фартов-внешторг"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