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03.07.2020, оставленным без изменения постановлением Девятого арбитражного апелляционного суда от 29.09.2020, в удовлетворении иска отказано. Арбитражный суд Московского округа постановлением от 15.01.2021 решение от 03.07.2020 и постановление Девятого арбитражного апелляционного суда от 29.09.2020 оставил без изменения. В кассационной жалобе предприятие просит об отмене судебных актов, ссылаясь на противоречие вывода судов о недоказанности нарушения обязательства по предоставлению обеспечения признанию ответчиком такого нарушения.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Обстоятельства, составляющие условия для применения договорной ответственности за нарушение обязательства, устанавливаются судами, рассматривающими дело по правилам для суда первой инстанции. Требуемая переоценка условий для взыскания неустойки не отвечает критериям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«Предприятие по управлению собственностью за рубежом» Управления делами Президента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ФГУП "Предприятие по управлению собственностью за рубежом" Управления делами Президента Российской Федерации (подробнее) Ответчики: ООО "Международная Строительная Компания"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