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116 608 363 рублей 55 копеек. Определением Арбитражного суда города Москвы от 02.11.2020, оставленным без изменения постановлениями Девятого арбитражного апелляционного суда от 17.12.2020 и Арбитражного суда Московского округа от 10.03.2021, требования признаны обоснованными, но подлежащими удовлетворению за счёт имущества должника, оставшегося после удовлетворения требований его реестровых кредиторов. В кассационной жалобе, поданной в Верховный Суд Российской Федерации, заявитель просит полностью отменить постановления судов апелляционной инстанции и округа, изменить определение суда первой инстанции в части отказа во включении требований в реестр; принять по делу новый судебный акт о включении данных требований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того, что исключение спорных требований из первоначального заявления полностью находилось в воле общества, имевшего возможность предоставить суду право самостоятельно квалифицировать их статус, в связи с чем пришли к выводу об отсутствии объективных и уважительных причин для несвоевременного предъявления им своих требований, хоть и являющихся обоснованными, но подлежащими удовлетворению за счёт имущества, оставшегося после удовлетворения требований реестровых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«Аметистовое»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