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кредитор обратилась в суд с заявлением о разрешении разногласий с конкурсным управляющим должником Сидор Павлом Леонидовичем по вопросу распределения денежных средств, поступающих от реализации предмета залога. Определением Арбитражного суда Тюменской области от 24.09.2020, оставленным без изменения постановлениями Восьмого арбитражного апелляционного суда от 19.11.2020 и Арбитражного суда Западно-Сибирского округа от 22.01.2021,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в части признания мораторных процентов граждан-участников строительства подлежащих удовлетворению до удовлетворения требований кредиторов четвёртой очереди и принять в данной части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суды, руководствуясь статьями 60, 201.9, 201.14 Федерального закона от 26.10.2002 № 127-ФЗ «О несостоятельности (банкротстве)», пунктами 7, 8 постановления Пленума Высшего Арбитражного Суда Российской Федерации от 06.12.2013 № 88 «О начислении и уплате процентов по требованиям кредиторов при банкротстве», исходили из того, что предложенный конкурсным управляющим способ распределения денежных средств не нарушает порядок погашения требований кредиторов, поскольку исходит из обеспечения приоритетной защиты прав граждан – участников строительства как непрофессиональных инвесторов.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«Уралглавкерамика»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