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03.12.2019, оставленным без изменения постановлением Девятого арбитражного апелляционного суда от 21.09.2020, иск удовлетворен частично, с ответчика в пользу истца взыскана неустойка в размере 408 000,95 рублей, в удовлетворении остальной части в иске отказано. Постановлением Арбитражного суда Московского округа от 13.01.2021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309 , 310 , 330 Гражданского кодекса Российской Федерации, статей 34,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 частично, признав факт нарушения ответчиком обязательств по контракту и скорректировав размер подлежащей взысканию неустойки. Доводы жалобы повторяют позицию общества по делу, являлись предметом рассмотрения судов и получили исчерпывающую правовую оценку исходя из установленных обстоятельств срока исполнения договора и действия антикризисных мер,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Министерство обороны Российской Федерации (подробнее) Ответчики: ООО "Завод специального машиностроения"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