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просит в счет подлежащей уплате за подаваемую кассационную жалобу государственной пошлины зачесть 3 000 рублей из уплаченной по платежному поручению от 13.08.2020 № 7823 суммы, на возврат которой выдана справка Арбитражным судом города Москвы. Согласно статьям 102, 104 Арбитражного процессуального кодекса Российской Федерации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333.40 Налогового кодекса Российской Федерации вопрос о зачете уплаченной в федеральный бюджет государственной пошлины подлежит разрешению при наличии оригинала документа, подтверждающего ее уплату, а также решения, определения и справки суда, органов и (или) должностных лиц, осуществляющих действия, за которые уплачивается государственная пошлина. 2 Суд отказывает в зачете, поскольку оригинал документа об уплате государственной пошлины не представлен. В связи с отказом в зачете суд признает, что в нарушение пункта 2 части 5 статьи 291.3 Арбитражного процессуального кодекса Российской Федерации за подаваемую кассационную жалобу государственная пошлина в установленных порядке и размере не уплачена, поэтому на основании пункта 1 части 1 статьи 291.5 Кодекса жалоба подлежит возврату. Руководствуясь статьей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«ВЭБ-лизинг» в зачете государственной пошлины при подаче кассационной жалобы на решение Арбитражного суда города Москвы от 15.07.2020 по делу № А40-344052/2019, постановление Девятого арбитражного апелляционного суда от 28.10.2020 и постановление Арбитражного суда Московского округа от 09.03.2021 по тому же делу. Возвратить акционерному обществу «ВЭБ-лизинг»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