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определении Верховного Суда Российской Федерации от 31.03.2021 № 306-ЭС21-2336 об отказе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допущены опечатки при указании заявителя кассационной жалобы. Поскольку исправление указанных опечаток не влияет на существо принятого судебного акта, допущенные опечатки подлежат исправлению на основании части 3 статьи 179 Арбитражного процессуального кодекса Российской Федерации. Руководствуясь статьей 179 Арбитражного процессуального кодекса Российской Федерации, 2</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заменить в вводной части определения Верховного Суда Российской Федерации от 31.03.2021 № 306-ЭС21-2336 наименование заявителя кассационной жалобы на Морозова Александра Андреевича и Филобокова Егора Васильевича, в абзацах 3, 13 описательной и мотивировочной частях указанного определения вместо слов «общество просит» и «общества» читать «заявители просят» и «заявителей», соответственно. Судья Верховного Суда Д.В. Тютин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