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подачи жалобы и о зачете государственной пошлины в размере 3000 руб., уплаченной 2 по платежному поручению от 01.06.2020 № 939674, в счет уплаты пошлины за подачу рассматриваемой жалобы.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Арбитражного процессуального кодекса Российской Федерации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оценив изложенные в нем доводы, судья считает его подлежащим удовлетворению.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 В соответствии с подпунктом 12 пункта 1 статьи 333.21 Налогового кодекса Российской Федерации за подачу кассационной жалобы на судебные акты арбитражного суда в Верховный Суд Российской Федерации подлежит уплате государственная пошлина в размере 3000 руб. Пунктом 6 статьи 333.40 Налогового кодекса Российской Федерации предусмотрено, что плательщик государственной пошлины имеет право на зачет излишне уплаченной (взысканной) суммы государственной пошлины в счет суммы государственной пошлины, подлежащей уплате за совершение аналогичного действия. Названной нормой установлены сроки и порядок подачи заявления о зачете. Рассмотрев ходатайство общества о зачете государственной пошлины и представленные в его обоснование документы, суд приходит к выводу о наличии оснований для его удовлетворения. Руководствуясь статьями 102, 117, 184 и 291.2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«Сибирская продовольственная компания» о восстановлении пропущенного процессуального срока подачи кассационной жалобы и о зачете государственной пошлины удовлетворить. Восстановить срок подачи кассационной жалобы на постановление Седьмого арбитражного апелляционного суда от 01.10.2020 и постановление Арбитражного суда Западно-Сибирского округа от 24.02.2021 по делу № А45-429/2020. Зачесть государственную пошлину в размере 3000 руб., перечисленную по платежному поручению от 01.06.2020 № 939674, в счет уплаты государственной пошлины за рассмотрение кассационной жалобы на постановление Седьмого арбитражного апелляционного суда от 01.10.2020 и постановление Арбитражного суда Западно-Сибирского округа от 24.02.2021 по делу № А45-429/2020.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