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13.03.2020 иск удовлетворен. Постановлением Первого арбитражного апелляционного суда от 21.09.2020, оставленным без изменения постановлением Арбитражного суда Волго-Вятского округа от 29.01.2021, решение отменено, в удовлетворении иска отказано. В кассационной жалобе общество просит об отмене судебных актов апелляционного и окружного судов, ссылаясь на игнорирование отсутствия претензий ответчика к состоянию груза при принятии груза к перевозке.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принятие груза к перевозке в опломбированном транспортном средстве, что исключает фиксирование предпринимателем как перевозчиком состояния груза. Вывод апелляционного суда о повреждении груза вследствие ненадлежащей упаковки и погрузки основан на содержании коммерческого акта и акта об установлении расхождения по количеству и качеству при приемке товарно-материальных ценностей.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«Логистика для Бизнеса»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