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подает кассационную жалобу на судебные акты по делу № А76-23055/2019 и одновременно просит о приостановлении исполнения обжалуемого решения. Учитывая неуказание мотивов для приостановления исполнения решения и неустановление судом требуемых частью 3 статьи 291.6 Арбитражного процессуального кодекса Российской Федерации условий для него, суд отказывает в приостановлении исполнения. Руководствуясь статьями 184 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финансов Российской Федерации в приостановлении исполнения решения Арбитражного суда Челябинской области от 02.07.2020 по делу № А76-23055/2019. Судья Верховного Суда Российской Федерации Н.А. Ксенофонтова Суд: Верховный Суд РФ (подробнее) Истцы: ООО "Метаком Сервис" (подробнее) Ответчики: Главное управление "Государственная жилищная инспекция Челябинской области" (подробнее) Судьи дела: Ксенофонтова Н.А. (судья) (подробнее) Последние документы по делу: Определение от 11 мая 2021 г. по делу № А76-23055/2019 Определение от 11 марта 2021 г. по делу № А76-23055/2019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