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Ростовской области от 30.06.2020, оставленным без изменения постановлением Пятнадцатого арбитражного апелляционного суда от 06.10.2020, взыскано 265 983 рубля 18 копеек убытков. Арбитражный суд Северо-Кавказского округа постановлением от 14.01.2021 решение от 30.06.2020 и постановление Пятнадцатого арбитражного апелляционного суда от 06.10.2020 оставил без изменения. В кассационной жалобе ФИО1 просит об отмене судебных актов, ссылаясь на неосновательное неуменьшение убытков на стоимость оставшихся в распоряжении страховщика запчастей.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замененные запчасти не попали в распоряжение страховщика, выплатившего страховое возмещение в размере стоимости восстановительного ремонта, непогашенная выплатой в порядке обязательного страхования часть которой взыскана с ответчика в соответствии со статьями 15 , 1064 Гражданского кодекса Российской Федерации.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гражданину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ПАО СК "Росгосстрах" (подробнее) Ответчики: ООО "ГЕОЭКОПРОЕКТ" (подробнее) Иные лица: ООО "Агат-Транс" (подробнее) Специализированное "Ростовский центр судебных экспертиз" (подробнее) Судьи дела: Ксенофонтова Н.А. (судья)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