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07.07.2020, оставленным без изменения постановлением Девятого арбитражного апелляционного суда от 02.12.2020 и постановлением Арбитражного суда Московского округа от 09.02.2021, иск удовлетворен в части взыскания 28 039, 73 евро неустойки. В кассационной жалобе общество «ЭДАС ПАК» просит об отмене судебных актов вследствие недостаточного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Установление в пределах данного дела обстоятельств, соответствующих критериям для уменьшения неустойки (статья 333 Гражданского кодекса Российской Федерации), является компетенцией судов, рассматривающих дело по правилам для суда первой инстанции, и связанные с этими обстоятельствами доводы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«ЭДАС ПАК»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