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15.10.2020, оставленным без изменения постановлением Одиннадцатого арбитражного апелляционного суда от 08.12.2020 и постановлением Арбитражного суда Поволжского округа от 05.02.2021, производство по делу прекращено на основании пункта 2 части 1 статьи 150 Арбитражного процессуального кодекса Российской Федерации. В кассационной жалобе общество «Грань» просит об отмене судебных актов, ссылаясь на различие оснований заявленного и ранее рассмотренного в рамках дела № А65-27137/2019 Арбитражного суда Республики Татарстан исков.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истец реализовал право на возмещение убытков в связи с поставкой некачественного товара в деле № А65-27137/2019 Арбитражного суда Республики Татарстан. Дополнительные документы в обоснование размера убытков в связи с той же поставкой не являются иными основаниями для нового иска.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