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23.06.2020, принятым в порядке упрощенного производства и оставленным без изменения постановлением Девятого арбитражного апелляционного суда от 15.09.2020, в удовлетворении иска отказано. Арбитражный суд Московского округа постановлением от 01.02.2021 отменил решение от 23.06.2020 и постановление Девятого арбитражного апелляционного суда от 15.09.2020 и удовлетворил иск в заявленном размере. В кассационной жалобе общество «ВСК» просит об отмене судебных актов, ссылаясь на отсутствие у истца прав на получение страхового возмещения, истечение срока исковой давности,.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Право общества «Компания Траст» на страховую выплату неразрывно связано с правом на получение долга по заемному обязательству, возникающему из договора уступки прав (требований) от 22.09.2015 № 64/43. Вопрос об исковой давности не был предметом обсуждения в судах нижестоящих инстанций, поэтому не влияет на судьбу судебных актов на стадии кассационного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страховому акционерному обществу «ВСК»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"Компания ТРАСТ" (подробнее) Ответчики: АО Страховое "ВСК"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