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13.07.2020, оставленным без изменения постановлением Двадцатого арбитражного апелляционного суда от 07.10.2020 и постановлением Арбитражного суда Центрального округа от 03.02.2021, в иске отказано. В кассационной жалобе компания просит о пересмотре судебных актов, ссылаясь на ненадлежащее исследование обстоятельств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условий для взыскания заявленных убытков в связи с компенсацией ответчиком компании расходов на льготную перевозку в пригородном сообщении в пределах, согласованных договором от 15.04.2016 № 53. Доводы кассационной жалобы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«Центральная пригородная пассажирская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