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07.09.2020, оставленным без изменения постановлением Одиннадцатого арбитражного апелляционного суда от 06.11.2020, в удовлетворении иска отказано. Арбитражный суд Поволжского округа постановлением от 10.02.2021 решение от 07.09.2020 и постановление Одиннадцатого арбитражного апелляционного суда от 06.11.2020 оставил без изменения. В кассационной жалобе общество «СтройТехМонтаж» просит об отмене судебных актов, ссылаясь на неосновательное ограничение ответственности подрядчика за ненадлежащее качество работ.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спор об исполнении обязательств по договору подряда от 14.09.2018 № 66-ПР/2018 разрешен в рамках дела № А49-10795/2019 Арбитражного суда Пензенской области посредством утверждения мирового соглашения, прекратившего притязания сторон.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«СтройТехМонтаж»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