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15.06.2020, оставленным без изменения постановлением Первого арбитражного апелляционного суда от 31.08.2020, иск удовлетворен. Арбитражный суд Волго-Вятского округа постановлением от 27.01.2021 решение от 15.06.2020 и постановление Первого арбитражного апелляционного суда от 31.08.2020 оставил без изменения. В кассационной жалобе общество «Система безопасности» просит об отмене судебных актов, ссылаясь на отсутствие обязательства по охране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об отсутствии ответственности за груз опровергается установленным судами содержанием обязанностей, согласованных в договоре от 01.07.2018.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«Система безопасности»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