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14.07.2020, оставленным без изменения постановлением Пятого арбитражного апелляционного суда от 13.10.2020, в удовлетворении иска отказано. Арбитражный суд Дальневосточного округа постановлением от 11.01.2021 решение от 14.07.2020 и постановление Пятого арбитражного апелляционного суда от 13.10.2020 оставил без изменения. В кассационной жалобе Экспобанк просит об отмене судебных актов, ссылаясь на рассмотрение дела в отсутствие истребованных от ответчика доказательств.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списание Примсоцбанком денежных средств со счета третьего лица в порядке поступления распоряжений без нарушения предусмотренной статьей 855 Гражданского кодекса Российской Федерации очередности, что не создает условия для применения ответственности в связи с исполнением действующего между банками соглашения об условиях списания денежных средств.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