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30.05.2018, оставленным без изменения в апелляционном и кассационном порядке, исковые требования удовлетворены. Определением Девятого арбитражного апелляционного суда от 10.12.2020, оставленным без изменения постановлением Арбитражного суда Московского округа от 17.02.2021, апелляционная жалоба заявителей, поданная в порядке пункта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возвращена в связи с отказом в восстановлении пропущенного срока на ее подачу. 2 В кассационной жалобе заявители просят о пересмотре судебных актов, ссылаясь на игнорирование необходимого для сбора информации в целях обжалования судебных актов времени.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при установлении достаточного для подачи жалобы срока учитывали статус заявителей и определяемые банкротством ответчика особенности правоотношений. Одновременно суды правомерно признали, что подачу жалобы ограничивают только объективные препятствия, наличия которых после определенного срока ими не установлено.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гражданам Донченко Петру Владимировичу, Акимову Борису Павловичу, Бондареву Андрею Евгеньевичу, Носову Дмитрию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