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22.06.2020, оставленным без изменения постановлением Девятого арбитражного апелляционного суда от 05.10.2020 и постановлением Арбитражного суда Московского округа от 21.01.2021, в удовлетворении иска отказано. В кассационной жалобе общество «Строй Центр» просит об отмене судебных актов, ссылаясь на неосновательное освобождение ответчика от ответственности.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в силу статей 15 , 393 Гражданского кодекса Российской Федерации условия для взыскания убытков вследствие ненадлежащего исполнения обязательства, устанавливаются судами и не подлежат пересмотру в кассационном порядке. Вопросы доказывания и оценки доказательств, на которых основаны доводы жалобы, не отвечают критериям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 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"Строй Центр" (подробнее) Ответчики: ООО "РусЭлектро"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