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20.03.2020, оставленным без изменения постановлением Девятого арбитражного апелляционного суда от 15.09.2020, в удовлетворении иска отказано. Арбитражный суд Московского округа постановлением от 30.12.2020 решение от 20.03.2020 и постановление Девятого арбитражного апелляционного суда от 15.09.2020 оставил без изменения. В кассационной жалобе предприниматель просит об отмене судебных актов как противоречащих заявленным требованиям, фактическим обстоятельствам дела и законодательству об ОСАГО.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ответственности, установлены судами в передах компетенции и требуемая их переоценка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Расулову А.М.в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