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11.06.2020, оставленным без изменения постановлением Тринадцатого арбитражного апелляционного суда от 13.10.2020 и постановлением Арбитражного суда Северо-Западного округа от 21.01.2021, иск удовлетворен. В кассационной жалобе общество «Кизляр Экстрим» просит об отмене судебных актов, ссылаясь на пропуск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установив наличие задолженности в связи с непоставкой товара, удовлетворили иск в соответствии со статьями 395, 454, 487, 1102 Гражданского кодекса Российской Федерации. Предъявление иска в пределах срока исковой давности установлено с применением правил статей 195, 196, 199, 200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«Кизляр Экстрим»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