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Республики Бурятия от 23.07.2020, оставленным без изменения постановлением Четвертого арбитражного апелляционного суда от 09.10.2020, взыскано 22 040 084 рубля 20 копеек задолженности, 1 060 885 рублей 21 копейка неустойки за период с 01.02.2018 по 14.12.2018 и неустойка с 15.12.2018 по день фактической уплаты долга исходя из 1/300 ключевой ставки Центрального 2 Банка Российской Федерации за каждый день просрочки, в удовлетворении встречного иска отказано. Арбитражный суд Восточно-Сибирского округа постановлением от 09.02.2021 решение от 23.07.2020 и постановление Четвертого арбитражного апелляционного суда от 09.10.2020 оставил без изменения. В кассационной жалобе завод просит об отмене судебных актов, ссылаясь на исполнение обязательства по оплате продукции в полном объеме.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цена определена договором поставки от 10.08.2017 № 1619187323641442208022985/Д.Д21205-17, поэтому в силу статей 424, 486 516 Гражданского кодекса Российской Федерации обязали завод исполнить обязательства на согласованных условиях. Иное обоснование заводом формирования цены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«Улан-Удэнский авиационный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