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10.07.2020, оставленным без изменения постановлением Пятого арбитражного апелляционного суда от 29.09.2020 и постановлением Арбитражного суда Дальневосточного округа от 15.01.2021, иск удовлетворен. В кассационной жалобе Киреев И.А. просит отменить судебные акты, ссылаясь на взыскание неподтвержденного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оказание истцом (исполнителем) услуг в рамках договора от 03.05.2018, поэтому удовлетворили иск в соответствии со статьями 779, 781 Гражданского кодекса Российской Федерации. Требуемая в жалобе переоценка выводов судов не обладает критериями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Кирееву Игорю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