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10.07.2020, оставленным без изменения постановлением Девятого арбитражного апелляционного суда от 05.10.2020 и постановлением Арбитражного суда Московского округа от 01.02.2021,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в рамках заключенного сторонами договора от 30.09.2016 № 224-16/ЗА на выполнение работ по переработке металлопроката (далее – договор) общество (заказчик) передало компании (подрядчик) давальческое сырье. Ссылаясь на то, что компанией готовая продукция не передана, неизрасходованные давальческие материалы и образованные в процессе переработки технологические отходы не возвращены, общество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договор, условиями которого предусмотрена пролонгация срока его действия при отсутствии заявлений сторон о намерении расторгнуть либо изменить договор, установив, что договор до настоящего времени не расторгнут, требование о взыскании стоимости невозвращенного имущества обществом не заявлено, руководствуясь статьями 421, 713, 714, 715 Гражданского кодекса Российской Федерации, суды первой и апелляционной инстанций пришли к выводу об отсутствии оснований для удовлетворения заявленных требований. Суд округа согласился с приведенными выводами судов первой и апелляционной инстанций.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«РУСМЕТПРОМ»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