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08.06.2020 иск удовлетворен. Постановлением Девятого Арбитражного апелляционного суда от 19.10.2020, оставленным без изменения постановлением Арбитражного суда Московского округа от 04.02.2021, решение отменено и в иске отказано. Предприниматель просит о пересмотре судебных актов апелляционного и окружного судов, ссылаясь на неверное установление объема уступаемых прав и неосновательное освобождение страховщиков от страховой выплаты.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не признал за истцом возникновения права на получение страховых выплат из договора уступки прав требования (цессии) от 03.09.2019, проанализировав содержание этого договора на соответствие статьям 382, 384 Гражданского кодекса Российской Федерации по правилу статьи 431 Кодекса. Иная оценка предпринимателем объема перешедших прав не обладает критериями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Чалигаве 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