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31.07.2020 в удовлетворении иска отказано. Девятый арбитражный апелляционный суд постановлением от 08.10.2020 отменил решение от 31.07.2020 и иск удовлетворил. Арбитражный суд Московского округа постановлением от 21.01.2021 постановление Девятого арбитражного апелляционного суда от 08.10.2020 оставил без изменения. В кассационной жалобе банк просит об отмене судебных актов апелляционного и окружного судов, ссылаясь на правомерность отказа в платеже и отсутствии основания для начисления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требование о платеже по банковской гарантии от 17.07.2017 № ГЭ-Ю-1314/17 предъявлено с учетом правила статьи 193 Гражданского кодекса Российской Федерации в пределах действия гарантии с приложением соответствовавших ее условиям документов, что в силу статей 375 и 376 Гражданского кодекса Российской Федерации не позволяло банку отказать в совершении платежа. Неисполнение банком в установленный срок требования о выплате в качестве основания для начисления предусмотренной гарантией неустойки установлено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«Коммерческий банк «Славянский 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