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Ставропольского края от 01.09.2020 иск удовлетворен частично. Постановлением Шестнадцатого арбитражного апелляционного суда от 02.12.2020, оставленным без изменения постановлением Арбитражного суда Северо-Кавказского округа от 26.02.2021, решение отменено, иск удовлетворен. В кассационной жалобе общество просит о пересмотре судебных актов апелляционного и окружного судов, ссылаясь на неосновательный отказ в уменьшении размера штрафа и законное приостановление поставки.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Обстоятельства, составляющие условия для применения договорной ответственности за неисполнение обязательства, установлены апелляционным судом в пределах компетенции и требуемая их переоценка не обладает критериями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«Агросервис»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