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30.01.2020, оставленным без изменения постановлением Десятого арбитражного апелляционного суда от 28.09.2020 и постановлением Арбитражного суда Московского округа от 21.01.2021, в удовлетворении иска отказано в связи с недоказанностью. В кассационной жалобе общество просит о пересмотре судебных актов апелляционного и окружного судов, ссылаясь на неустранение ими неправильной оценки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обоснованными возражения предпринимателя о предоставлении встречного исполнения на спорную сумму и предъявление истцом документально неподтвержденного иска и отказали в нем в соответствии со статьей 1102 Гражданского кодекса Российской Федерации и статьей 65 Арбитражного процессуального кодекса Российской Федерации. Требуемая обществом ревизия выводов судов, сделанных по результату оценки доказательств, не обладает критериями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«Климат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"КЛИМАТ ЛЮКС" (подробнее) Ответчики: ИП Дробышев Андрей Валерьевич (подробнее) Судьи дела: Ксенофонтова Н.А. (судья)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