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«Московский индустриальный банк» обратилось в суд с заявлением о включении в реестр требований кредиторов должника требований в размере 191 340 000 рублей, основанных на договоре уступки права требования № 1 от 13.12.2013; заявило ходатайство о передаче настоящего дела в другой арбитражный суд по месту предыдущей регистрации должника. Определением Арбитражного суда Чеченской Республики от 11.12.2020 в отказано в удовлетворении ходатайства о передаче настоящего для рассмотрения в Арбитражный суд города Москвы. Постановлением Шестнадцатого арбитражного апелляционного суда от 19.01.2021 частично отменено определение суда первой инстанции от 11.12.2020, удовлетворено ходатайство о передаче дела на рассмотрение другого арбитражного суда, настоящее дело передано для рассмотрения по подсудности в Арбитражный суд города Москвы. В кассационных жалобах, поданных в Верховный Суд Российской Федерации, заявители просят отменить указанное постановление апелляционного суда,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Удовлетворяя заявление о передаче настоящего дела на рассмотрение другого арбитражного суда, апелляционный суд, руководствуясь положениями статьи 39 Арбитражного процессуального кодекса Российской Федерации, статей 1 и 10 Гражданского кодекса Российской Федерации, исходил из доказанности наличия оснований для передачи дела по подсудности в Арбитражный суд города Москвы, обоснованности заявления. Выводы апелляционного суда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указанного судебного акта, апелляционным судом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Гатиеву Адаму Хизриевичу и финансовому управляющему Нагаслаеву Дмитрию Сергеевичу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